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669" w:rsidRDefault="00BC3669"/>
    <w:p w:rsidR="00D90F77" w:rsidRDefault="00D90F77"/>
    <w:p w:rsidR="00D90F77" w:rsidRDefault="00D90F77"/>
    <w:p w:rsidR="00440586" w:rsidRPr="00440586" w:rsidRDefault="00440586" w:rsidP="004C3BE9">
      <w:pPr>
        <w:pStyle w:val="NormalWeb"/>
        <w:rPr>
          <w:b/>
        </w:rPr>
      </w:pPr>
      <w:r>
        <w:tab/>
      </w:r>
      <w:r>
        <w:tab/>
      </w:r>
      <w:r>
        <w:tab/>
      </w:r>
      <w:r>
        <w:tab/>
      </w:r>
      <w:r>
        <w:tab/>
      </w:r>
      <w:r w:rsidRPr="00440586">
        <w:rPr>
          <w:b/>
        </w:rPr>
        <w:t xml:space="preserve">Clarion University </w:t>
      </w:r>
    </w:p>
    <w:p w:rsidR="00440586" w:rsidRPr="00440586" w:rsidRDefault="00440586" w:rsidP="00440586">
      <w:pPr>
        <w:pStyle w:val="NormalWeb"/>
        <w:ind w:left="1440" w:firstLine="720"/>
        <w:rPr>
          <w:b/>
        </w:rPr>
      </w:pPr>
      <w:r w:rsidRPr="00440586">
        <w:rPr>
          <w:b/>
        </w:rPr>
        <w:t xml:space="preserve">Institutional Review Board COVID-19 Guidelines.  </w:t>
      </w:r>
    </w:p>
    <w:p w:rsidR="00325E29" w:rsidRDefault="00325E29" w:rsidP="004C3BE9">
      <w:pPr>
        <w:pStyle w:val="NormalWeb"/>
      </w:pPr>
      <w:r>
        <w:t>Clarion University’s IRB</w:t>
      </w:r>
      <w:r>
        <w:t xml:space="preserve"> will continue to process applications and conduct review processes</w:t>
      </w:r>
      <w:r>
        <w:t>.</w:t>
      </w:r>
      <w:r>
        <w:t xml:space="preserve"> All investigators engaging in human </w:t>
      </w:r>
      <w:proofErr w:type="gramStart"/>
      <w:r>
        <w:t>subjects</w:t>
      </w:r>
      <w:proofErr w:type="gramEnd"/>
      <w:r>
        <w:t xml:space="preserve"> research should develop plans for continued data collection, communication, and data management to protect themselves and their participants from COVID-19.</w:t>
      </w:r>
    </w:p>
    <w:p w:rsidR="00440586" w:rsidRPr="00440586" w:rsidRDefault="00440586" w:rsidP="00325E29">
      <w:pPr>
        <w:pStyle w:val="NormalWeb"/>
        <w:rPr>
          <w:b/>
        </w:rPr>
      </w:pPr>
      <w:r w:rsidRPr="00440586">
        <w:rPr>
          <w:b/>
        </w:rPr>
        <w:t>Undergraduate and Graduate Research</w:t>
      </w:r>
    </w:p>
    <w:p w:rsidR="004C3BE9" w:rsidRDefault="00325E29" w:rsidP="00325E29">
      <w:pPr>
        <w:pStyle w:val="NormalWeb"/>
      </w:pPr>
      <w:r>
        <w:t>Undergraduate and Graduate students should work with their faculty advisor</w:t>
      </w:r>
      <w:r w:rsidR="004C3BE9">
        <w:t>s</w:t>
      </w:r>
      <w:r>
        <w:t xml:space="preserve"> on protocols for research.  </w:t>
      </w:r>
      <w:r w:rsidR="004C3BE9">
        <w:t xml:space="preserve">Additionally, the researchers must work with the research sites to ensure the health and safety of both the participants and the researchers.  </w:t>
      </w:r>
    </w:p>
    <w:p w:rsidR="00440586" w:rsidRPr="00440586" w:rsidRDefault="00440586" w:rsidP="004848BF">
      <w:pPr>
        <w:widowControl/>
        <w:autoSpaceDE/>
        <w:autoSpaceDN/>
        <w:rPr>
          <w:b/>
          <w:sz w:val="24"/>
          <w:szCs w:val="24"/>
          <w:lang w:bidi="ar-SA"/>
        </w:rPr>
      </w:pPr>
      <w:r w:rsidRPr="00440586">
        <w:rPr>
          <w:b/>
          <w:sz w:val="24"/>
          <w:szCs w:val="24"/>
          <w:lang w:bidi="ar-SA"/>
        </w:rPr>
        <w:t>Interaction with Participants in Research</w:t>
      </w:r>
    </w:p>
    <w:p w:rsidR="00440586" w:rsidRPr="00440586" w:rsidRDefault="00440586" w:rsidP="004848BF">
      <w:pPr>
        <w:widowControl/>
        <w:autoSpaceDE/>
        <w:autoSpaceDN/>
        <w:rPr>
          <w:b/>
          <w:sz w:val="24"/>
          <w:szCs w:val="24"/>
          <w:lang w:bidi="ar-SA"/>
        </w:rPr>
      </w:pPr>
    </w:p>
    <w:p w:rsidR="004848BF" w:rsidRPr="004848BF" w:rsidRDefault="004848BF" w:rsidP="004848BF">
      <w:pPr>
        <w:widowControl/>
        <w:autoSpaceDE/>
        <w:autoSpaceDN/>
        <w:rPr>
          <w:sz w:val="24"/>
          <w:szCs w:val="24"/>
          <w:lang w:bidi="ar-SA"/>
        </w:rPr>
      </w:pPr>
      <w:r w:rsidRPr="004848BF">
        <w:rPr>
          <w:sz w:val="24"/>
          <w:szCs w:val="24"/>
          <w:lang w:bidi="ar-SA"/>
        </w:rPr>
        <w:t>Some clinical studies require in-person study visits in order to conduct safety monitoring</w:t>
      </w:r>
    </w:p>
    <w:p w:rsidR="004848BF" w:rsidRPr="004848BF" w:rsidRDefault="004848BF" w:rsidP="004848BF">
      <w:pPr>
        <w:widowControl/>
        <w:autoSpaceDE/>
        <w:autoSpaceDN/>
        <w:rPr>
          <w:sz w:val="24"/>
          <w:szCs w:val="24"/>
          <w:lang w:bidi="ar-SA"/>
        </w:rPr>
      </w:pPr>
      <w:r w:rsidRPr="004848BF">
        <w:rPr>
          <w:sz w:val="24"/>
          <w:szCs w:val="24"/>
          <w:lang w:bidi="ar-SA"/>
        </w:rPr>
        <w:t>of the participants. For example, participants in a drug treatment study may need to</w:t>
      </w:r>
    </w:p>
    <w:p w:rsidR="004848BF" w:rsidRPr="004848BF" w:rsidRDefault="004848BF" w:rsidP="004848BF">
      <w:pPr>
        <w:widowControl/>
        <w:autoSpaceDE/>
        <w:autoSpaceDN/>
        <w:rPr>
          <w:sz w:val="24"/>
          <w:szCs w:val="24"/>
          <w:lang w:bidi="ar-SA"/>
        </w:rPr>
      </w:pPr>
      <w:r w:rsidRPr="004848BF">
        <w:rPr>
          <w:sz w:val="24"/>
          <w:szCs w:val="24"/>
          <w:lang w:bidi="ar-SA"/>
        </w:rPr>
        <w:t>have regular examinations, interviews, or laboratory tests for specific possible side</w:t>
      </w:r>
    </w:p>
    <w:p w:rsidR="004848BF" w:rsidRPr="004848BF" w:rsidRDefault="004848BF" w:rsidP="004848BF">
      <w:pPr>
        <w:widowControl/>
        <w:autoSpaceDE/>
        <w:autoSpaceDN/>
        <w:rPr>
          <w:sz w:val="24"/>
          <w:szCs w:val="24"/>
          <w:lang w:bidi="ar-SA"/>
        </w:rPr>
      </w:pPr>
      <w:r w:rsidRPr="004848BF">
        <w:rPr>
          <w:sz w:val="24"/>
          <w:szCs w:val="24"/>
          <w:lang w:bidi="ar-SA"/>
        </w:rPr>
        <w:t>effects.</w:t>
      </w:r>
    </w:p>
    <w:p w:rsidR="004848BF" w:rsidRPr="00BF0DE3" w:rsidRDefault="004848BF" w:rsidP="004848BF">
      <w:pPr>
        <w:widowControl/>
        <w:autoSpaceDE/>
        <w:autoSpaceDN/>
        <w:spacing w:before="100" w:beforeAutospacing="1" w:after="100" w:afterAutospacing="1"/>
        <w:rPr>
          <w:sz w:val="24"/>
          <w:szCs w:val="24"/>
          <w:lang w:bidi="ar-SA"/>
        </w:rPr>
      </w:pPr>
      <w:r w:rsidRPr="00BF0DE3">
        <w:rPr>
          <w:sz w:val="24"/>
          <w:szCs w:val="24"/>
          <w:lang w:bidi="ar-SA"/>
        </w:rPr>
        <w:t>Follow any guidelines or instructions from the specific facility where participant interaction would occur.</w:t>
      </w:r>
    </w:p>
    <w:p w:rsidR="004848BF" w:rsidRPr="00BF0DE3" w:rsidRDefault="004848BF" w:rsidP="004848BF">
      <w:pPr>
        <w:widowControl/>
        <w:autoSpaceDE/>
        <w:autoSpaceDN/>
        <w:spacing w:before="100" w:beforeAutospacing="1" w:after="100" w:afterAutospacing="1"/>
        <w:rPr>
          <w:sz w:val="24"/>
          <w:szCs w:val="24"/>
          <w:lang w:bidi="ar-SA"/>
        </w:rPr>
      </w:pPr>
      <w:r w:rsidRPr="00BF0DE3">
        <w:rPr>
          <w:sz w:val="24"/>
          <w:szCs w:val="24"/>
          <w:lang w:bidi="ar-SA"/>
        </w:rPr>
        <w:t>Consider the participant population (e.g., are they considered "high risk" for COVID-19?) and the setting in which the interaction would occur.</w:t>
      </w:r>
    </w:p>
    <w:p w:rsidR="004848BF" w:rsidRPr="00BF0DE3" w:rsidRDefault="004848BF" w:rsidP="004848BF">
      <w:pPr>
        <w:widowControl/>
        <w:autoSpaceDE/>
        <w:autoSpaceDN/>
        <w:spacing w:before="100" w:beforeAutospacing="1" w:after="100" w:afterAutospacing="1"/>
        <w:rPr>
          <w:sz w:val="24"/>
          <w:szCs w:val="24"/>
          <w:lang w:bidi="ar-SA"/>
        </w:rPr>
      </w:pPr>
      <w:r w:rsidRPr="00BF0DE3">
        <w:rPr>
          <w:sz w:val="24"/>
          <w:szCs w:val="24"/>
          <w:lang w:bidi="ar-SA"/>
        </w:rPr>
        <w:t>Develop possible alternatives to in-person study visits that are important for subject safety and monitoring.</w:t>
      </w:r>
    </w:p>
    <w:p w:rsidR="00440586" w:rsidRDefault="00440586" w:rsidP="00440586">
      <w:pPr>
        <w:widowControl/>
        <w:autoSpaceDE/>
        <w:autoSpaceDN/>
        <w:spacing w:before="100" w:beforeAutospacing="1" w:after="100" w:afterAutospacing="1"/>
        <w:rPr>
          <w:sz w:val="24"/>
          <w:szCs w:val="24"/>
          <w:lang w:bidi="ar-SA"/>
        </w:rPr>
      </w:pPr>
      <w:r w:rsidRPr="004848BF">
        <w:rPr>
          <w:sz w:val="24"/>
          <w:szCs w:val="24"/>
          <w:lang w:bidi="ar-SA"/>
        </w:rPr>
        <w:t>Researchers should plan for alternatives to in-person</w:t>
      </w:r>
      <w:r>
        <w:rPr>
          <w:sz w:val="24"/>
          <w:szCs w:val="24"/>
          <w:lang w:bidi="ar-SA"/>
        </w:rPr>
        <w:t xml:space="preserve">.  </w:t>
      </w:r>
      <w:r w:rsidRPr="00BF0DE3">
        <w:rPr>
          <w:sz w:val="24"/>
          <w:szCs w:val="24"/>
          <w:lang w:bidi="ar-SA"/>
        </w:rPr>
        <w:t>The Principal Investigator (PI) should consider contingency plans in the event that research participants are unable to attend scheduled study visits, especially those that impact participant safety.</w:t>
      </w:r>
    </w:p>
    <w:p w:rsidR="00440586" w:rsidRPr="00BF0DE3" w:rsidRDefault="00440586" w:rsidP="00BF0DE3">
      <w:pPr>
        <w:widowControl/>
        <w:autoSpaceDE/>
        <w:autoSpaceDN/>
        <w:spacing w:before="100" w:beforeAutospacing="1" w:after="100" w:afterAutospacing="1"/>
        <w:rPr>
          <w:sz w:val="24"/>
          <w:szCs w:val="24"/>
          <w:lang w:bidi="ar-SA"/>
        </w:rPr>
      </w:pPr>
    </w:p>
    <w:p w:rsidR="00440586" w:rsidRDefault="00440586" w:rsidP="004848BF">
      <w:pPr>
        <w:widowControl/>
        <w:autoSpaceDE/>
        <w:autoSpaceDN/>
        <w:rPr>
          <w:sz w:val="24"/>
          <w:szCs w:val="24"/>
          <w:lang w:bidi="ar-SA"/>
        </w:rPr>
      </w:pPr>
    </w:p>
    <w:p w:rsidR="00440586" w:rsidRDefault="00440586" w:rsidP="004848BF">
      <w:pPr>
        <w:widowControl/>
        <w:autoSpaceDE/>
        <w:autoSpaceDN/>
        <w:rPr>
          <w:sz w:val="24"/>
          <w:szCs w:val="24"/>
          <w:lang w:bidi="ar-SA"/>
        </w:rPr>
      </w:pPr>
    </w:p>
    <w:p w:rsidR="00440586" w:rsidRDefault="00440586" w:rsidP="004848BF">
      <w:pPr>
        <w:widowControl/>
        <w:autoSpaceDE/>
        <w:autoSpaceDN/>
        <w:rPr>
          <w:sz w:val="24"/>
          <w:szCs w:val="24"/>
          <w:lang w:bidi="ar-SA"/>
        </w:rPr>
      </w:pPr>
    </w:p>
    <w:p w:rsidR="00440586" w:rsidRDefault="00440586" w:rsidP="004848BF">
      <w:pPr>
        <w:widowControl/>
        <w:autoSpaceDE/>
        <w:autoSpaceDN/>
        <w:rPr>
          <w:sz w:val="24"/>
          <w:szCs w:val="24"/>
          <w:lang w:bidi="ar-SA"/>
        </w:rPr>
      </w:pPr>
    </w:p>
    <w:p w:rsidR="00440586" w:rsidRDefault="00440586" w:rsidP="004848BF">
      <w:pPr>
        <w:widowControl/>
        <w:autoSpaceDE/>
        <w:autoSpaceDN/>
        <w:rPr>
          <w:sz w:val="24"/>
          <w:szCs w:val="24"/>
          <w:lang w:bidi="ar-SA"/>
        </w:rPr>
      </w:pPr>
    </w:p>
    <w:p w:rsidR="00440586" w:rsidRDefault="00440586" w:rsidP="004848BF">
      <w:pPr>
        <w:widowControl/>
        <w:autoSpaceDE/>
        <w:autoSpaceDN/>
        <w:rPr>
          <w:sz w:val="24"/>
          <w:szCs w:val="24"/>
          <w:lang w:bidi="ar-SA"/>
        </w:rPr>
      </w:pPr>
    </w:p>
    <w:p w:rsidR="00440586" w:rsidRDefault="00440586" w:rsidP="004848BF">
      <w:pPr>
        <w:widowControl/>
        <w:autoSpaceDE/>
        <w:autoSpaceDN/>
        <w:rPr>
          <w:sz w:val="24"/>
          <w:szCs w:val="24"/>
          <w:lang w:bidi="ar-SA"/>
        </w:rPr>
      </w:pPr>
    </w:p>
    <w:p w:rsidR="00440586" w:rsidRDefault="00440586" w:rsidP="004848BF">
      <w:pPr>
        <w:widowControl/>
        <w:autoSpaceDE/>
        <w:autoSpaceDN/>
        <w:rPr>
          <w:sz w:val="24"/>
          <w:szCs w:val="24"/>
          <w:lang w:bidi="ar-SA"/>
        </w:rPr>
      </w:pPr>
    </w:p>
    <w:p w:rsidR="00440586" w:rsidRDefault="00440586" w:rsidP="004848BF">
      <w:pPr>
        <w:widowControl/>
        <w:autoSpaceDE/>
        <w:autoSpaceDN/>
        <w:rPr>
          <w:sz w:val="24"/>
          <w:szCs w:val="24"/>
          <w:lang w:bidi="ar-SA"/>
        </w:rPr>
      </w:pPr>
    </w:p>
    <w:p w:rsidR="00440586" w:rsidRDefault="00440586" w:rsidP="004848BF">
      <w:pPr>
        <w:widowControl/>
        <w:autoSpaceDE/>
        <w:autoSpaceDN/>
        <w:rPr>
          <w:sz w:val="24"/>
          <w:szCs w:val="24"/>
          <w:lang w:bidi="ar-SA"/>
        </w:rPr>
      </w:pPr>
    </w:p>
    <w:p w:rsidR="00440586" w:rsidRDefault="00440586" w:rsidP="004848BF">
      <w:pPr>
        <w:widowControl/>
        <w:autoSpaceDE/>
        <w:autoSpaceDN/>
        <w:rPr>
          <w:sz w:val="24"/>
          <w:szCs w:val="24"/>
          <w:lang w:bidi="ar-SA"/>
        </w:rPr>
      </w:pPr>
    </w:p>
    <w:p w:rsidR="00440586" w:rsidRPr="00440586" w:rsidRDefault="00440586" w:rsidP="004848BF">
      <w:pPr>
        <w:widowControl/>
        <w:autoSpaceDE/>
        <w:autoSpaceDN/>
        <w:rPr>
          <w:b/>
          <w:sz w:val="24"/>
          <w:szCs w:val="24"/>
          <w:lang w:bidi="ar-SA"/>
        </w:rPr>
      </w:pPr>
      <w:r>
        <w:rPr>
          <w:b/>
          <w:sz w:val="24"/>
          <w:szCs w:val="24"/>
          <w:lang w:bidi="ar-SA"/>
        </w:rPr>
        <w:t>Modification to Research Protocol</w:t>
      </w:r>
    </w:p>
    <w:p w:rsidR="00440586" w:rsidRDefault="00440586" w:rsidP="004848BF">
      <w:pPr>
        <w:widowControl/>
        <w:autoSpaceDE/>
        <w:autoSpaceDN/>
        <w:rPr>
          <w:sz w:val="24"/>
          <w:szCs w:val="24"/>
          <w:lang w:bidi="ar-SA"/>
        </w:rPr>
      </w:pPr>
    </w:p>
    <w:p w:rsidR="004848BF" w:rsidRPr="004848BF" w:rsidRDefault="004848BF" w:rsidP="004848BF">
      <w:pPr>
        <w:widowControl/>
        <w:autoSpaceDE/>
        <w:autoSpaceDN/>
        <w:rPr>
          <w:sz w:val="24"/>
          <w:szCs w:val="24"/>
          <w:lang w:bidi="ar-SA"/>
        </w:rPr>
      </w:pPr>
      <w:r w:rsidRPr="004848BF">
        <w:rPr>
          <w:sz w:val="24"/>
          <w:szCs w:val="24"/>
          <w:lang w:bidi="ar-SA"/>
        </w:rPr>
        <w:t>Many studies are modifying their procedures to replace in-person study visits with</w:t>
      </w:r>
    </w:p>
    <w:p w:rsidR="004848BF" w:rsidRPr="004848BF" w:rsidRDefault="004848BF" w:rsidP="004848BF">
      <w:pPr>
        <w:widowControl/>
        <w:autoSpaceDE/>
        <w:autoSpaceDN/>
        <w:rPr>
          <w:sz w:val="24"/>
          <w:szCs w:val="24"/>
          <w:lang w:bidi="ar-SA"/>
        </w:rPr>
      </w:pPr>
      <w:r w:rsidRPr="004848BF">
        <w:rPr>
          <w:sz w:val="24"/>
          <w:szCs w:val="24"/>
          <w:lang w:bidi="ar-SA"/>
        </w:rPr>
        <w:t>“remote” options for questionnaires, surveys, check-ins, screening, and consenting.</w:t>
      </w:r>
    </w:p>
    <w:p w:rsidR="004848BF" w:rsidRPr="00440586" w:rsidRDefault="004848BF" w:rsidP="004848BF">
      <w:pPr>
        <w:widowControl/>
        <w:autoSpaceDE/>
        <w:autoSpaceDN/>
        <w:rPr>
          <w:i/>
          <w:sz w:val="24"/>
          <w:szCs w:val="24"/>
          <w:lang w:bidi="ar-SA"/>
        </w:rPr>
      </w:pPr>
      <w:r w:rsidRPr="00440586">
        <w:rPr>
          <w:i/>
          <w:sz w:val="24"/>
          <w:szCs w:val="24"/>
          <w:lang w:bidi="ar-SA"/>
        </w:rPr>
        <w:t>Remember that these changes must be approved in advance by the IRB as a</w:t>
      </w:r>
    </w:p>
    <w:p w:rsidR="004848BF" w:rsidRPr="00440586" w:rsidRDefault="004848BF" w:rsidP="004848BF">
      <w:pPr>
        <w:widowControl/>
        <w:autoSpaceDE/>
        <w:autoSpaceDN/>
        <w:rPr>
          <w:i/>
          <w:sz w:val="24"/>
          <w:szCs w:val="24"/>
          <w:lang w:bidi="ar-SA"/>
        </w:rPr>
      </w:pPr>
      <w:r w:rsidRPr="00440586">
        <w:rPr>
          <w:i/>
          <w:sz w:val="24"/>
          <w:szCs w:val="24"/>
          <w:lang w:bidi="ar-SA"/>
        </w:rPr>
        <w:t>m</w:t>
      </w:r>
      <w:r w:rsidRPr="00440586">
        <w:rPr>
          <w:i/>
          <w:sz w:val="24"/>
          <w:szCs w:val="24"/>
          <w:lang w:bidi="ar-SA"/>
        </w:rPr>
        <w:t>odification to the study, unless they are necessary to eliminate immediate apparent</w:t>
      </w:r>
    </w:p>
    <w:p w:rsidR="004848BF" w:rsidRDefault="004848BF" w:rsidP="004848BF">
      <w:pPr>
        <w:widowControl/>
        <w:autoSpaceDE/>
        <w:autoSpaceDN/>
        <w:rPr>
          <w:sz w:val="24"/>
          <w:szCs w:val="24"/>
          <w:lang w:bidi="ar-SA"/>
        </w:rPr>
      </w:pPr>
      <w:r w:rsidRPr="00440586">
        <w:rPr>
          <w:i/>
          <w:sz w:val="24"/>
          <w:szCs w:val="24"/>
          <w:lang w:bidi="ar-SA"/>
        </w:rPr>
        <w:t>hazards to participants</w:t>
      </w:r>
      <w:r w:rsidRPr="004848BF">
        <w:rPr>
          <w:sz w:val="24"/>
          <w:szCs w:val="24"/>
          <w:lang w:bidi="ar-SA"/>
        </w:rPr>
        <w:t>.</w:t>
      </w:r>
    </w:p>
    <w:p w:rsidR="004C3BE9" w:rsidRDefault="004C3BE9" w:rsidP="004848BF">
      <w:pPr>
        <w:widowControl/>
        <w:autoSpaceDE/>
        <w:autoSpaceDN/>
        <w:rPr>
          <w:sz w:val="24"/>
          <w:szCs w:val="24"/>
          <w:lang w:bidi="ar-SA"/>
        </w:rPr>
      </w:pPr>
    </w:p>
    <w:p w:rsidR="00BF0DE3" w:rsidRPr="004C3BE9" w:rsidRDefault="00BF0DE3" w:rsidP="00BF0DE3">
      <w:pPr>
        <w:pStyle w:val="Heading3"/>
        <w:rPr>
          <w:sz w:val="24"/>
          <w:szCs w:val="24"/>
        </w:rPr>
      </w:pPr>
      <w:r w:rsidRPr="004C3BE9">
        <w:rPr>
          <w:rStyle w:val="Strong"/>
          <w:b/>
          <w:bCs/>
          <w:sz w:val="24"/>
          <w:szCs w:val="24"/>
        </w:rPr>
        <w:t>Voluntary Suspension of Study Enrollment or Participation</w:t>
      </w:r>
    </w:p>
    <w:p w:rsidR="00BF0DE3" w:rsidRDefault="00BF0DE3" w:rsidP="00BF0DE3">
      <w:pPr>
        <w:pStyle w:val="NormalWeb"/>
      </w:pPr>
      <w:r>
        <w:t xml:space="preserve">If the PI decides to voluntarily stop participant enrollment or participation in a research protocol, this action is reportable to via the </w:t>
      </w:r>
      <w:r w:rsidR="00440586">
        <w:t xml:space="preserve">IRB closure form.  </w:t>
      </w:r>
      <w:bookmarkStart w:id="0" w:name="_GoBack"/>
      <w:bookmarkEnd w:id="0"/>
      <w:r w:rsidR="00440586" w:rsidRPr="00440586">
        <w:t>https://www.clarion.edu/faculty-staff/faculty-research-and-development/irb/irb-project-closure-form.pdf</w:t>
      </w:r>
    </w:p>
    <w:p w:rsidR="00BF0DE3" w:rsidRPr="00BF0DE3" w:rsidRDefault="00BF0DE3" w:rsidP="00BF0DE3">
      <w:pPr>
        <w:widowControl/>
        <w:autoSpaceDE/>
        <w:autoSpaceDN/>
        <w:rPr>
          <w:sz w:val="24"/>
          <w:szCs w:val="24"/>
          <w:lang w:bidi="ar-SA"/>
        </w:rPr>
      </w:pPr>
      <w:r w:rsidRPr="00BF0DE3">
        <w:rPr>
          <w:sz w:val="24"/>
          <w:szCs w:val="24"/>
          <w:lang w:bidi="ar-SA"/>
        </w:rPr>
        <w:t>It is important to describe how any actively enrolled participants will be managed, particularly with regards to any safety monitoring and follow-up.</w:t>
      </w:r>
    </w:p>
    <w:p w:rsidR="00D90F77" w:rsidRDefault="00D90F77"/>
    <w:p w:rsidR="004848BF" w:rsidRPr="00440586" w:rsidRDefault="004848BF" w:rsidP="004848BF">
      <w:pPr>
        <w:pStyle w:val="Heading3"/>
        <w:rPr>
          <w:sz w:val="24"/>
          <w:szCs w:val="24"/>
        </w:rPr>
      </w:pPr>
      <w:proofErr w:type="spellStart"/>
      <w:r w:rsidRPr="00440586">
        <w:rPr>
          <w:rStyle w:val="Strong"/>
          <w:b/>
          <w:bCs/>
          <w:sz w:val="24"/>
          <w:szCs w:val="24"/>
        </w:rPr>
        <w:t>ClinicalTrials.gov</w:t>
      </w:r>
      <w:proofErr w:type="spellEnd"/>
      <w:r w:rsidRPr="00440586">
        <w:rPr>
          <w:rStyle w:val="Strong"/>
          <w:b/>
          <w:bCs/>
          <w:sz w:val="24"/>
          <w:szCs w:val="24"/>
        </w:rPr>
        <w:t xml:space="preserve"> Registration Updates</w:t>
      </w:r>
    </w:p>
    <w:p w:rsidR="004848BF" w:rsidRDefault="004848BF" w:rsidP="004848BF">
      <w:pPr>
        <w:pStyle w:val="NormalWeb"/>
      </w:pPr>
      <w:r>
        <w:t>Some studies registered at the federal site </w:t>
      </w:r>
      <w:proofErr w:type="spellStart"/>
      <w:r>
        <w:fldChar w:fldCharType="begin"/>
      </w:r>
      <w:r>
        <w:instrText xml:space="preserve"> HYPERLINK "https://clinicaltrials.gov/" </w:instrText>
      </w:r>
      <w:r>
        <w:fldChar w:fldCharType="separate"/>
      </w:r>
      <w:r>
        <w:rPr>
          <w:rStyle w:val="Hyperlink"/>
        </w:rPr>
        <w:t>ClinicalTrials.gov</w:t>
      </w:r>
      <w:proofErr w:type="spellEnd"/>
      <w:r>
        <w:fldChar w:fldCharType="end"/>
      </w:r>
      <w:r>
        <w:t xml:space="preserve"> are modifying their research procedures to include testing for SARS-CoV-2 and/or assessment of COVID-19 symptoms. The </w:t>
      </w:r>
      <w:proofErr w:type="spellStart"/>
      <w:r>
        <w:t>ClinicalTrials.gov</w:t>
      </w:r>
      <w:proofErr w:type="spellEnd"/>
      <w:r>
        <w:t xml:space="preserve"> information for the study should be updated to include these new procedures, if they are done for research purposes. If they are being added as public health surveillance activities in coordination with public health authorities, the registration information does not need to be modified. The federal requirement about modifications is that any research-related changes that are communicated to the subjects (past, ongoing, future) must be added to the study's </w:t>
      </w:r>
      <w:proofErr w:type="spellStart"/>
      <w:r>
        <w:t>ClinicalTrials.gov</w:t>
      </w:r>
      <w:proofErr w:type="spellEnd"/>
      <w:r>
        <w:t xml:space="preserve"> registration with 30 days after IRB approval of the modification.</w:t>
      </w:r>
    </w:p>
    <w:p w:rsidR="00440586" w:rsidRDefault="00440586" w:rsidP="004848BF">
      <w:pPr>
        <w:pStyle w:val="NormalWeb"/>
      </w:pPr>
    </w:p>
    <w:p w:rsidR="00440586" w:rsidRDefault="00440586" w:rsidP="004848BF">
      <w:pPr>
        <w:pStyle w:val="NormalWeb"/>
      </w:pPr>
      <w:r>
        <w:t xml:space="preserve">For further information related to COVID-19:  </w:t>
      </w:r>
      <w:r w:rsidRPr="00440586">
        <w:t>https://www.clarion.edu/student-life/health-fitness-and-wellness/health-care-services/trending-health-topics.html</w:t>
      </w:r>
    </w:p>
    <w:sectPr w:rsidR="00440586" w:rsidSect="00D90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26E0C"/>
    <w:multiLevelType w:val="hybridMultilevel"/>
    <w:tmpl w:val="3D5EA330"/>
    <w:lvl w:ilvl="0" w:tplc="DDB06C2C">
      <w:start w:val="1"/>
      <w:numFmt w:val="decimal"/>
      <w:lvlText w:val="%1."/>
      <w:lvlJc w:val="left"/>
      <w:pPr>
        <w:ind w:left="460" w:hanging="240"/>
      </w:pPr>
      <w:rPr>
        <w:rFonts w:ascii="Times New Roman" w:eastAsia="Times New Roman" w:hAnsi="Times New Roman" w:cs="Times New Roman" w:hint="default"/>
        <w:spacing w:val="-5"/>
        <w:w w:val="97"/>
        <w:sz w:val="24"/>
        <w:szCs w:val="24"/>
        <w:lang w:val="en-US" w:eastAsia="en-US" w:bidi="en-US"/>
      </w:rPr>
    </w:lvl>
    <w:lvl w:ilvl="1" w:tplc="71184A54">
      <w:start w:val="1"/>
      <w:numFmt w:val="decimal"/>
      <w:lvlText w:val="%2."/>
      <w:lvlJc w:val="left"/>
      <w:pPr>
        <w:ind w:left="1300" w:hanging="360"/>
      </w:pPr>
      <w:rPr>
        <w:rFonts w:ascii="Times New Roman" w:eastAsia="Times New Roman" w:hAnsi="Times New Roman" w:cs="Times New Roman" w:hint="default"/>
        <w:spacing w:val="-2"/>
        <w:w w:val="97"/>
        <w:sz w:val="24"/>
        <w:szCs w:val="24"/>
        <w:lang w:val="en-US" w:eastAsia="en-US" w:bidi="en-US"/>
      </w:rPr>
    </w:lvl>
    <w:lvl w:ilvl="2" w:tplc="DED67034">
      <w:numFmt w:val="bullet"/>
      <w:lvlText w:val="•"/>
      <w:lvlJc w:val="left"/>
      <w:pPr>
        <w:ind w:left="2406" w:hanging="360"/>
      </w:pPr>
      <w:rPr>
        <w:rFonts w:hint="default"/>
        <w:lang w:val="en-US" w:eastAsia="en-US" w:bidi="en-US"/>
      </w:rPr>
    </w:lvl>
    <w:lvl w:ilvl="3" w:tplc="1794E322">
      <w:numFmt w:val="bullet"/>
      <w:lvlText w:val="•"/>
      <w:lvlJc w:val="left"/>
      <w:pPr>
        <w:ind w:left="3513" w:hanging="360"/>
      </w:pPr>
      <w:rPr>
        <w:rFonts w:hint="default"/>
        <w:lang w:val="en-US" w:eastAsia="en-US" w:bidi="en-US"/>
      </w:rPr>
    </w:lvl>
    <w:lvl w:ilvl="4" w:tplc="4BE4F7A2">
      <w:numFmt w:val="bullet"/>
      <w:lvlText w:val="•"/>
      <w:lvlJc w:val="left"/>
      <w:pPr>
        <w:ind w:left="4620" w:hanging="360"/>
      </w:pPr>
      <w:rPr>
        <w:rFonts w:hint="default"/>
        <w:lang w:val="en-US" w:eastAsia="en-US" w:bidi="en-US"/>
      </w:rPr>
    </w:lvl>
    <w:lvl w:ilvl="5" w:tplc="A82AEE3E">
      <w:numFmt w:val="bullet"/>
      <w:lvlText w:val="•"/>
      <w:lvlJc w:val="left"/>
      <w:pPr>
        <w:ind w:left="5726" w:hanging="360"/>
      </w:pPr>
      <w:rPr>
        <w:rFonts w:hint="default"/>
        <w:lang w:val="en-US" w:eastAsia="en-US" w:bidi="en-US"/>
      </w:rPr>
    </w:lvl>
    <w:lvl w:ilvl="6" w:tplc="7CB22D9E">
      <w:numFmt w:val="bullet"/>
      <w:lvlText w:val="•"/>
      <w:lvlJc w:val="left"/>
      <w:pPr>
        <w:ind w:left="6833" w:hanging="360"/>
      </w:pPr>
      <w:rPr>
        <w:rFonts w:hint="default"/>
        <w:lang w:val="en-US" w:eastAsia="en-US" w:bidi="en-US"/>
      </w:rPr>
    </w:lvl>
    <w:lvl w:ilvl="7" w:tplc="8AAA0942">
      <w:numFmt w:val="bullet"/>
      <w:lvlText w:val="•"/>
      <w:lvlJc w:val="left"/>
      <w:pPr>
        <w:ind w:left="7940" w:hanging="360"/>
      </w:pPr>
      <w:rPr>
        <w:rFonts w:hint="default"/>
        <w:lang w:val="en-US" w:eastAsia="en-US" w:bidi="en-US"/>
      </w:rPr>
    </w:lvl>
    <w:lvl w:ilvl="8" w:tplc="A4C48A24">
      <w:numFmt w:val="bullet"/>
      <w:lvlText w:val="•"/>
      <w:lvlJc w:val="left"/>
      <w:pPr>
        <w:ind w:left="904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F77"/>
    <w:rsid w:val="000C4E71"/>
    <w:rsid w:val="00325E29"/>
    <w:rsid w:val="00440586"/>
    <w:rsid w:val="004848BF"/>
    <w:rsid w:val="004C3BE9"/>
    <w:rsid w:val="007A01DC"/>
    <w:rsid w:val="00BC3669"/>
    <w:rsid w:val="00BF0DE3"/>
    <w:rsid w:val="00BF6AE7"/>
    <w:rsid w:val="00D90F77"/>
    <w:rsid w:val="00FE2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DA6DD"/>
  <w15:chartTrackingRefBased/>
  <w15:docId w15:val="{616F4F68-5FA1-EA44-B90D-50FBAB99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90F77"/>
    <w:pPr>
      <w:widowControl w:val="0"/>
      <w:autoSpaceDE w:val="0"/>
      <w:autoSpaceDN w:val="0"/>
    </w:pPr>
    <w:rPr>
      <w:rFonts w:ascii="Times New Roman" w:eastAsia="Times New Roman" w:hAnsi="Times New Roman" w:cs="Times New Roman"/>
      <w:sz w:val="22"/>
      <w:szCs w:val="22"/>
      <w:lang w:bidi="en-US"/>
    </w:rPr>
  </w:style>
  <w:style w:type="paragraph" w:styleId="Heading3">
    <w:name w:val="heading 3"/>
    <w:basedOn w:val="Normal"/>
    <w:link w:val="Heading3Char"/>
    <w:uiPriority w:val="9"/>
    <w:qFormat/>
    <w:rsid w:val="00BF0DE3"/>
    <w:pPr>
      <w:widowControl/>
      <w:autoSpaceDE/>
      <w:autoSpaceDN/>
      <w:spacing w:before="100" w:beforeAutospacing="1" w:after="100" w:afterAutospacing="1"/>
      <w:outlineLvl w:val="2"/>
    </w:pPr>
    <w:rPr>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90F77"/>
    <w:rPr>
      <w:sz w:val="24"/>
      <w:szCs w:val="24"/>
    </w:rPr>
  </w:style>
  <w:style w:type="character" w:customStyle="1" w:styleId="BodyTextChar">
    <w:name w:val="Body Text Char"/>
    <w:basedOn w:val="DefaultParagraphFont"/>
    <w:link w:val="BodyText"/>
    <w:uiPriority w:val="1"/>
    <w:rsid w:val="00D90F77"/>
    <w:rPr>
      <w:rFonts w:ascii="Times New Roman" w:eastAsia="Times New Roman" w:hAnsi="Times New Roman" w:cs="Times New Roman"/>
      <w:lang w:bidi="en-US"/>
    </w:rPr>
  </w:style>
  <w:style w:type="paragraph" w:styleId="ListParagraph">
    <w:name w:val="List Paragraph"/>
    <w:basedOn w:val="Normal"/>
    <w:uiPriority w:val="34"/>
    <w:qFormat/>
    <w:rsid w:val="00D90F77"/>
    <w:pPr>
      <w:ind w:left="460" w:hanging="240"/>
    </w:pPr>
  </w:style>
  <w:style w:type="table" w:styleId="TableGrid">
    <w:name w:val="Table Grid"/>
    <w:basedOn w:val="TableNormal"/>
    <w:uiPriority w:val="39"/>
    <w:rsid w:val="00FE20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DE3"/>
    <w:pPr>
      <w:widowControl/>
      <w:autoSpaceDE/>
      <w:autoSpaceDN/>
      <w:spacing w:before="100" w:beforeAutospacing="1" w:after="100" w:afterAutospacing="1"/>
    </w:pPr>
    <w:rPr>
      <w:sz w:val="24"/>
      <w:szCs w:val="24"/>
      <w:lang w:bidi="ar-SA"/>
    </w:rPr>
  </w:style>
  <w:style w:type="character" w:styleId="Strong">
    <w:name w:val="Strong"/>
    <w:basedOn w:val="DefaultParagraphFont"/>
    <w:uiPriority w:val="22"/>
    <w:qFormat/>
    <w:rsid w:val="00BF0DE3"/>
    <w:rPr>
      <w:b/>
      <w:bCs/>
    </w:rPr>
  </w:style>
  <w:style w:type="character" w:customStyle="1" w:styleId="Heading3Char">
    <w:name w:val="Heading 3 Char"/>
    <w:basedOn w:val="DefaultParagraphFont"/>
    <w:link w:val="Heading3"/>
    <w:uiPriority w:val="9"/>
    <w:rsid w:val="00BF0DE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F0D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479692">
      <w:bodyDiv w:val="1"/>
      <w:marLeft w:val="0"/>
      <w:marRight w:val="0"/>
      <w:marTop w:val="0"/>
      <w:marBottom w:val="0"/>
      <w:divBdr>
        <w:top w:val="none" w:sz="0" w:space="0" w:color="auto"/>
        <w:left w:val="none" w:sz="0" w:space="0" w:color="auto"/>
        <w:bottom w:val="none" w:sz="0" w:space="0" w:color="auto"/>
        <w:right w:val="none" w:sz="0" w:space="0" w:color="auto"/>
      </w:divBdr>
      <w:divsChild>
        <w:div w:id="1033775358">
          <w:marLeft w:val="0"/>
          <w:marRight w:val="0"/>
          <w:marTop w:val="435"/>
          <w:marBottom w:val="435"/>
          <w:divBdr>
            <w:top w:val="none" w:sz="0" w:space="0" w:color="auto"/>
            <w:left w:val="none" w:sz="0" w:space="0" w:color="auto"/>
            <w:bottom w:val="none" w:sz="0" w:space="0" w:color="auto"/>
            <w:right w:val="none" w:sz="0" w:space="0" w:color="auto"/>
          </w:divBdr>
        </w:div>
      </w:divsChild>
    </w:div>
    <w:div w:id="975572096">
      <w:bodyDiv w:val="1"/>
      <w:marLeft w:val="0"/>
      <w:marRight w:val="0"/>
      <w:marTop w:val="0"/>
      <w:marBottom w:val="0"/>
      <w:divBdr>
        <w:top w:val="none" w:sz="0" w:space="0" w:color="auto"/>
        <w:left w:val="none" w:sz="0" w:space="0" w:color="auto"/>
        <w:bottom w:val="none" w:sz="0" w:space="0" w:color="auto"/>
        <w:right w:val="none" w:sz="0" w:space="0" w:color="auto"/>
      </w:divBdr>
    </w:div>
    <w:div w:id="1062482504">
      <w:bodyDiv w:val="1"/>
      <w:marLeft w:val="0"/>
      <w:marRight w:val="0"/>
      <w:marTop w:val="0"/>
      <w:marBottom w:val="0"/>
      <w:divBdr>
        <w:top w:val="none" w:sz="0" w:space="0" w:color="auto"/>
        <w:left w:val="none" w:sz="0" w:space="0" w:color="auto"/>
        <w:bottom w:val="none" w:sz="0" w:space="0" w:color="auto"/>
        <w:right w:val="none" w:sz="0" w:space="0" w:color="auto"/>
      </w:divBdr>
    </w:div>
    <w:div w:id="1135833652">
      <w:bodyDiv w:val="1"/>
      <w:marLeft w:val="0"/>
      <w:marRight w:val="0"/>
      <w:marTop w:val="0"/>
      <w:marBottom w:val="0"/>
      <w:divBdr>
        <w:top w:val="none" w:sz="0" w:space="0" w:color="auto"/>
        <w:left w:val="none" w:sz="0" w:space="0" w:color="auto"/>
        <w:bottom w:val="none" w:sz="0" w:space="0" w:color="auto"/>
        <w:right w:val="none" w:sz="0" w:space="0" w:color="auto"/>
      </w:divBdr>
    </w:div>
    <w:div w:id="1663972174">
      <w:bodyDiv w:val="1"/>
      <w:marLeft w:val="0"/>
      <w:marRight w:val="0"/>
      <w:marTop w:val="0"/>
      <w:marBottom w:val="0"/>
      <w:divBdr>
        <w:top w:val="none" w:sz="0" w:space="0" w:color="auto"/>
        <w:left w:val="none" w:sz="0" w:space="0" w:color="auto"/>
        <w:bottom w:val="none" w:sz="0" w:space="0" w:color="auto"/>
        <w:right w:val="none" w:sz="0" w:space="0" w:color="auto"/>
      </w:divBdr>
    </w:div>
    <w:div w:id="187795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2020-03-16T19:29:00Z</dcterms:created>
  <dcterms:modified xsi:type="dcterms:W3CDTF">2020-03-16T19:29:00Z</dcterms:modified>
</cp:coreProperties>
</file>